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630974" w:rsidR="00484CA5" w:rsidP="00484CA5" w:rsidRDefault="009E5863">
      <w:pPr>
        <w:pStyle w:val="Sansinterligne1"/>
        <w:tabs>
          <w:tab w:val="right" w:leader="dot" w:pos="3402"/>
        </w:tabs>
        <w:spacing w:line="360" w:lineRule="auto"/>
        <w:jc w:val="both"/>
        <w:rPr>
          <w:rFonts w:ascii="Arial" w:hAnsi="Arial" w:cs="Arial"/>
        </w:rPr>
      </w:pPr>
      <w:r>
        <w:rPr>
          <w:rFonts w:ascii="Arial" w:hAnsi="Arial" w:cs="Arial"/>
          <w:noProof/>
          <w:lang w:eastAsia="fr-FR"/>
        </w:rPr>
        <w:pict>
          <v:shapetype filled="f" o:spt="32.0" path="m,l21600,21600e" coordsize="21600,21600" id="_x0000_t32" o:oned="t">
            <v:path fillok="f" arrowok="t" o:connecttype="none"/>
            <o:lock shapetype="t" v:ext="edit"/>
          </v:shapetype>
          <v:shape type="#_x0000_t32" style="position:absolute;left:0;text-align:left;margin-left:-4.7pt;margin-top:20.75pt;width:.8pt;height:69.65pt;z-index:251660288;mso-width-relative:margin;mso-height-relative:margin" id="_x0000_s1027" o:connectortype="straight"/>
        </w:pict>
      </w:r>
      <w:r w:rsidR="00286817">
        <w:rPr>
          <w:rFonts w:ascii="Arial" w:hAnsi="Arial" w:cs="Arial"/>
        </w:rPr>
        <w:t>Coordonnées complètes de l’offreur :</w:t>
      </w:r>
      <w:r w:rsidRPr="00630974" w:rsidR="00484CA5">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286817" w:rsidRDefault="00484CA5">
      <w:pPr>
        <w:pStyle w:val="Sansinterligne1"/>
        <w:ind w:left="4962"/>
        <w:jc w:val="both"/>
        <w:rPr>
          <w:rFonts w:ascii="Arial" w:hAnsi="Arial" w:cs="Arial"/>
          <w:b/>
        </w:rPr>
      </w:pPr>
      <w:r w:rsidRPr="00481240">
        <w:rPr>
          <w:rFonts w:ascii="Arial" w:hAnsi="Arial" w:cs="Arial"/>
          <w:b/>
        </w:rPr>
        <w:t xml:space="preserve">ETUDE </w:t>
      </w:r>
      <w:r w:rsidR="00286817">
        <w:rPr>
          <w:rFonts w:ascii="Arial" w:hAnsi="Arial" w:cs="Arial"/>
          <w:b/>
        </w:rPr>
        <w:t>B.G.H</w:t>
      </w:r>
    </w:p>
    <w:p w:rsidRPr="00D86606" w:rsidR="00484CA5" w:rsidP="00286817" w:rsidRDefault="00484CA5">
      <w:pPr>
        <w:pStyle w:val="Sansinterligne1"/>
        <w:ind w:left="4962"/>
        <w:jc w:val="both"/>
        <w:rPr>
          <w:rFonts w:ascii="Arial" w:hAnsi="Arial" w:cs="Arial"/>
          <w:i/>
        </w:rPr>
      </w:pPr>
      <w:r w:rsidRPr="00D86606">
        <w:rPr>
          <w:rFonts w:ascii="Arial" w:hAnsi="Arial" w:cs="Arial"/>
          <w:i/>
        </w:rPr>
        <w:t>Mandataires Judiciaires Associés</w:t>
      </w:r>
    </w:p>
    <w:p w:rsidR="00484CA5" w:rsidP="00286817" w:rsidRDefault="002D39B0">
      <w:pPr>
        <w:pStyle w:val="Sansinterligne1"/>
        <w:ind w:left="4962"/>
        <w:jc w:val="both"/>
        <w:rPr>
          <w:rFonts w:ascii="Arial" w:hAnsi="Arial" w:cs="Arial"/>
          <w:lang w:val="en-US"/>
        </w:rPr>
      </w:pPr>
      <w:r w:rsidRPr="002D39B0">
        <w:rPr>
          <w:rFonts w:ascii="Arial" w:hAnsi="Arial" w:cs="Arial"/>
          <w:lang w:val="en-US"/>
        </w:rPr>
        <w:t>"L'Axiome"</w:t>
      </w:r>
    </w:p>
    <w:p w:rsidR="002D39B0" w:rsidP="00286817" w:rsidRDefault="002D39B0">
      <w:pPr>
        <w:pStyle w:val="Sansinterligne1"/>
        <w:ind w:left="4962"/>
        <w:jc w:val="both"/>
        <w:rPr>
          <w:rFonts w:ascii="Arial" w:hAnsi="Arial" w:cs="Arial"/>
          <w:lang w:val="en-US"/>
        </w:rPr>
      </w:pPr>
      <w:r w:rsidRPr="002D39B0">
        <w:rPr>
          <w:rFonts w:ascii="Arial" w:hAnsi="Arial" w:cs="Arial"/>
          <w:lang w:val="en-US"/>
        </w:rPr>
        <w:t>44 rue Charles Montreuil</w:t>
      </w:r>
    </w:p>
    <w:p w:rsidRPr="002A6D9C" w:rsidR="002D39B0" w:rsidP="00286817" w:rsidRDefault="00286817">
      <w:pPr>
        <w:pStyle w:val="Sansinterligne1"/>
        <w:ind w:left="4962"/>
        <w:jc w:val="both"/>
        <w:rPr>
          <w:rFonts w:ascii="Arial" w:hAnsi="Arial" w:cs="Arial"/>
          <w:lang w:val="en-US"/>
        </w:rPr>
      </w:pP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sid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03/06/2025</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SARL DAKA</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286817">
        <w:rPr>
          <w:rFonts w:ascii="Arial" w:hAnsi="Arial" w:cs="Arial"/>
        </w:rPr>
        <w:t>du fonds de commerce de</w:t>
      </w:r>
      <w:r>
        <w:rPr>
          <w:rFonts w:ascii="Arial" w:hAnsi="Arial" w:cs="Arial"/>
        </w:rPr>
        <w:t xml:space="preserve">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286817">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1 – PRÉ</w:t>
      </w:r>
      <w:r w:rsidRPr="000C6B3D" w:rsidR="00484CA5">
        <w:rPr>
          <w:rFonts w:ascii="Arial" w:hAnsi="Arial" w:cs="Arial"/>
          <w:b/>
          <w:color w:val="767171" w:themeColor="background2" w:themeShade="80"/>
          <w:sz w:val="28"/>
          <w:szCs w:val="28"/>
          <w:u w:val="single"/>
        </w:rPr>
        <w:t xml:space="preserve">SENTATION DU CANDIDAT A LA REPRISE </w:t>
      </w:r>
    </w:p>
    <w:p w:rsidR="00484CA5" w:rsidP="00484CA5" w:rsidRDefault="00484CA5">
      <w:pPr>
        <w:pStyle w:val="Sansinterligne1"/>
        <w:jc w:val="both"/>
        <w:rPr>
          <w:rFonts w:ascii="Arial" w:hAnsi="Arial" w:cs="Arial"/>
          <w:b/>
          <w:u w:val="single"/>
        </w:rPr>
      </w:pPr>
    </w:p>
    <w:p w:rsidR="00286817" w:rsidP="00484CA5" w:rsidRDefault="009E5863">
      <w:pPr>
        <w:pStyle w:val="Sansinterligne1"/>
        <w:jc w:val="both"/>
        <w:rPr>
          <w:rFonts w:ascii="Arial" w:hAnsi="Arial" w:cs="Arial"/>
          <w:b/>
        </w:rPr>
      </w:pPr>
      <w:r w:rsidRPr="009E5863">
        <w:rPr>
          <w:rFonts w:ascii="Arial" w:hAnsi="Arial" w:cs="Arial"/>
          <w:b/>
        </w:rPr>
        <w:t>Préciser l’identité de la personne qui se porte acquéreur :</w:t>
      </w:r>
    </w:p>
    <w:p w:rsidRPr="00481240" w:rsidR="009E5863" w:rsidP="00484CA5" w:rsidRDefault="009E5863">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286817" w:rsidP="00484CA5" w:rsidRDefault="00286817">
      <w:pPr>
        <w:pStyle w:val="Sansinterligne1"/>
        <w:tabs>
          <w:tab w:val="right" w:leader="dot" w:pos="9072"/>
        </w:tabs>
        <w:jc w:val="both"/>
        <w:rPr>
          <w:rFonts w:ascii="Arial" w:hAnsi="Arial" w:cs="Arial"/>
        </w:rPr>
      </w:pPr>
      <w:r w:rsidRPr="00286817">
        <w:rPr>
          <w:rFonts w:ascii="Arial" w:hAnsi="Arial" w:cs="Arial"/>
        </w:rPr>
        <w:t>N° SIREN :</w:t>
      </w:r>
      <w:r w:rsidRPr="00286817">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286817" w:rsidP="00484CA5" w:rsidRDefault="00286817">
      <w:pPr>
        <w:pStyle w:val="Sansinterligne1"/>
        <w:jc w:val="both"/>
        <w:rPr>
          <w:rFonts w:ascii="Arial" w:hAnsi="Arial" w:cs="Arial"/>
          <w:b/>
          <w:u w:val="single"/>
        </w:rPr>
      </w:pPr>
    </w:p>
    <w:p w:rsidRPr="000C6B3D" w:rsidR="00286817" w:rsidP="00484CA5" w:rsidRDefault="00286817">
      <w:pPr>
        <w:pStyle w:val="Sansinterligne1"/>
        <w:jc w:val="both"/>
        <w:rPr>
          <w:rFonts w:ascii="Arial" w:hAnsi="Arial" w:cs="Arial"/>
          <w:b/>
          <w:u w:val="single"/>
        </w:rPr>
      </w:pPr>
    </w:p>
    <w:p w:rsidR="00484CA5" w:rsidP="00484CA5" w:rsidRDefault="00484CA5">
      <w:pPr>
        <w:pStyle w:val="Sansinterligne1"/>
        <w:jc w:val="both"/>
        <w:rPr>
          <w:rFonts w:ascii="Arial" w:hAnsi="Arial" w:cs="Arial"/>
          <w:b/>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A3226A" w:rsidP="00484CA5" w:rsidRDefault="00A3226A">
      <w:pPr>
        <w:pStyle w:val="Sansinterligne1"/>
        <w:jc w:val="both"/>
        <w:rPr>
          <w:rFonts w:ascii="Arial" w:hAnsi="Arial" w:cs="Arial"/>
          <w:b/>
          <w:u w:val="single"/>
        </w:rPr>
      </w:pPr>
    </w:p>
    <w:p w:rsidR="00A3226A" w:rsidP="00484CA5" w:rsidRDefault="00286817">
      <w:pPr>
        <w:pStyle w:val="Sansinterligne1"/>
        <w:jc w:val="both"/>
        <w:rPr>
          <w:rFonts w:ascii="Arial" w:hAnsi="Arial" w:cs="Arial"/>
          <w:b/>
          <w:u w:val="single"/>
        </w:rPr>
      </w:pPr>
      <w:r>
        <w:rPr>
          <w:rFonts w:ascii="Arial" w:hAnsi="Arial" w:cs="Arial"/>
          <w:b/>
          <w:u w:val="single"/>
        </w:rPr>
        <w:br w:type="page"/>
      </w: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2 – OBJ</w:t>
      </w:r>
      <w:r w:rsidR="00286817">
        <w:rPr>
          <w:rFonts w:ascii="Arial" w:hAnsi="Arial" w:cs="Arial"/>
          <w:b/>
          <w:color w:val="767171" w:themeColor="background2" w:themeShade="80"/>
          <w:sz w:val="28"/>
          <w:szCs w:val="28"/>
          <w:u w:val="single"/>
        </w:rPr>
        <w:t>ET DE LA REPRISE ET PRIX PROPOSÉ</w:t>
      </w:r>
      <w:r w:rsidRPr="000C6B3D">
        <w:rPr>
          <w:rFonts w:ascii="Arial" w:hAnsi="Arial" w:cs="Arial"/>
          <w:b/>
          <w:color w:val="767171" w:themeColor="background2" w:themeShade="80"/>
          <w:sz w:val="28"/>
          <w:szCs w:val="28"/>
          <w:u w:val="single"/>
        </w:rPr>
        <w:t xml:space="preserv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 xml:space="preserve">Le candidat propose de reprendre les éléments d’actifs </w:t>
      </w:r>
      <w:r w:rsidRPr="00481240" w:rsidR="00286817">
        <w:rPr>
          <w:rFonts w:ascii="Arial" w:hAnsi="Arial" w:cs="Arial"/>
        </w:rPr>
        <w:t>suivants</w:t>
      </w:r>
      <w:r w:rsidRPr="00481240">
        <w:rPr>
          <w:rFonts w:ascii="Arial" w:hAnsi="Arial" w:cs="Arial"/>
        </w:rPr>
        <w:t>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Droit au bail</w:t>
            </w:r>
          </w:p>
          <w:p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licence IV</w:t>
            </w:r>
          </w:p>
          <w:p w:rsidRPr="000C6B3D" w:rsidR="00286817" w:rsidP="00286817" w:rsidRDefault="00286817">
            <w:pPr>
              <w:pStyle w:val="Sansinterligne"/>
              <w:numPr>
                <w:ilvl w:val="0"/>
                <w:numId w:val="7"/>
              </w:numPr>
              <w:spacing w:line="480" w:lineRule="auto"/>
              <w:jc w:val="both"/>
              <w:rPr>
                <w:rFonts w:ascii="Arial" w:hAnsi="Arial" w:cs="Arial"/>
              </w:rPr>
            </w:pPr>
            <w:r>
              <w:rPr>
                <w:rFonts w:ascii="Arial" w:hAnsi="Arial" w:cs="Arial"/>
              </w:rPr>
              <w:t>Autre licence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clientèle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Enseigne</w:t>
            </w:r>
          </w:p>
          <w:p w:rsidRPr="00480C54" w:rsidR="00484CA5" w:rsidP="00286817" w:rsidRDefault="00484CA5">
            <w:pPr>
              <w:pStyle w:val="Sansinterligne"/>
              <w:numPr>
                <w:ilvl w:val="0"/>
                <w:numId w:val="7"/>
              </w:numPr>
              <w:spacing w:line="480" w:lineRule="auto"/>
              <w:jc w:val="both"/>
              <w:rPr>
                <w:rFonts w:ascii="Times New Roman" w:hAnsi="Times New Roman"/>
                <w:sz w:val="28"/>
              </w:rPr>
            </w:pPr>
            <w:r w:rsidRPr="000C6B3D">
              <w:rPr>
                <w:rFonts w:ascii="Arial" w:hAnsi="Arial" w:cs="Arial"/>
              </w:rPr>
              <w:t>Autre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286817" w:rsidRDefault="00484CA5">
            <w:pPr>
              <w:pStyle w:val="Sansinterligne"/>
              <w:numPr>
                <w:ilvl w:val="0"/>
                <w:numId w:val="8"/>
              </w:numPr>
              <w:jc w:val="both"/>
              <w:rPr>
                <w:rFonts w:ascii="Arial" w:hAnsi="Arial" w:cs="Arial"/>
              </w:rPr>
            </w:pPr>
            <w:r w:rsidRPr="000C6B3D">
              <w:rPr>
                <w:rFonts w:ascii="Arial" w:hAnsi="Arial" w:cs="Arial"/>
              </w:rPr>
              <w:t xml:space="preserve">matériel d’exploitation </w:t>
            </w:r>
          </w:p>
          <w:p w:rsidRPr="000C6B3D" w:rsidR="00484CA5" w:rsidP="00286817" w:rsidRDefault="00484CA5">
            <w:pPr>
              <w:pStyle w:val="Sansinterligne"/>
              <w:spacing w:after="240"/>
              <w:ind w:left="720"/>
              <w:jc w:val="both"/>
              <w:rPr>
                <w:rFonts w:ascii="Arial" w:hAnsi="Arial" w:cs="Arial"/>
              </w:rPr>
            </w:pPr>
            <w:r w:rsidRPr="000C6B3D">
              <w:rPr>
                <w:rFonts w:ascii="Arial" w:hAnsi="Arial" w:cs="Arial"/>
              </w:rPr>
              <w:t>(selon inventaire du Commissaire-priseur)</w:t>
            </w:r>
          </w:p>
          <w:p w:rsidRPr="000C6B3D" w:rsidR="00484CA5" w:rsidP="00286817" w:rsidRDefault="00484CA5">
            <w:pPr>
              <w:pStyle w:val="Sansinterligne"/>
              <w:numPr>
                <w:ilvl w:val="0"/>
                <w:numId w:val="8"/>
              </w:numPr>
              <w:spacing w:line="480" w:lineRule="auto"/>
              <w:jc w:val="both"/>
              <w:rPr>
                <w:rFonts w:ascii="Arial" w:hAnsi="Arial" w:cs="Arial"/>
              </w:rPr>
            </w:pPr>
            <w:r w:rsidRPr="000C6B3D">
              <w:rPr>
                <w:rFonts w:ascii="Arial" w:hAnsi="Arial" w:cs="Arial"/>
              </w:rPr>
              <w:t>véhicule</w:t>
            </w:r>
          </w:p>
          <w:p w:rsidRPr="006D0AD4" w:rsidR="00484CA5" w:rsidP="00286817" w:rsidRDefault="00484CA5">
            <w:pPr>
              <w:pStyle w:val="Sansinterligne"/>
              <w:numPr>
                <w:ilvl w:val="0"/>
                <w:numId w:val="8"/>
              </w:numPr>
              <w:spacing w:line="480" w:lineRule="auto"/>
              <w:jc w:val="both"/>
              <w:rPr>
                <w:rFonts w:ascii="Times New Roman" w:hAnsi="Times New Roman"/>
              </w:rPr>
            </w:pPr>
            <w:r w:rsidRPr="000C6B3D">
              <w:rPr>
                <w:rFonts w:ascii="Arial" w:hAnsi="Arial" w:cs="Arial"/>
              </w:rPr>
              <w:t>autre :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286817">
        <w:trPr>
          <w:trHeight w:val="3296"/>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9E5863">
            <w:pPr>
              <w:pStyle w:val="Sansinterligne"/>
              <w:jc w:val="both"/>
              <w:rPr>
                <w:rFonts w:ascii="Times New Roman" w:hAnsi="Times New Roman"/>
              </w:rPr>
            </w:pPr>
            <w:r>
              <w:rPr>
                <w:noProof/>
                <w:lang w:eastAsia="fr-FR"/>
              </w:rPr>
              <w:pict>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w:t>
      </w:r>
      <w:r w:rsidR="00286817">
        <w:rPr>
          <w:rFonts w:ascii="Arial" w:hAnsi="Arial" w:cs="Arial"/>
          <w:b/>
          <w:color w:val="767171" w:themeColor="background2" w:themeShade="80"/>
          <w:sz w:val="28"/>
          <w:szCs w:val="28"/>
          <w:u w:val="single"/>
        </w:rPr>
        <w:t>É</w:t>
      </w:r>
      <w:r w:rsidRPr="000E5D50" w:rsidR="006F1F6F">
        <w:rPr>
          <w:rFonts w:ascii="Arial" w:hAnsi="Arial" w:cs="Arial"/>
          <w:b/>
          <w:color w:val="767171" w:themeColor="background2" w:themeShade="80"/>
          <w:sz w:val="28"/>
          <w:szCs w:val="28"/>
          <w:u w:val="single"/>
        </w:rPr>
        <w:t>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r w:rsidR="00286817">
        <w:rPr>
          <w:rFonts w:ascii="Arial" w:hAnsi="Arial" w:cs="Arial"/>
        </w:rPr>
        <w:t>…………………….</w:t>
      </w:r>
      <w:r>
        <w:rPr>
          <w:rFonts w:ascii="Arial" w:hAnsi="Arial" w:cs="Arial"/>
        </w:rPr>
        <w:t>…..€</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r w:rsidR="00286817">
        <w:rPr>
          <w:rFonts w:ascii="Arial" w:hAnsi="Arial" w:cs="Arial"/>
        </w:rPr>
        <w:t>…………………….</w:t>
      </w:r>
      <w:r w:rsidRPr="00A9298A">
        <w:rPr>
          <w:rFonts w:ascii="Arial" w:hAnsi="Arial" w:cs="Arial"/>
        </w:rPr>
        <w:t>……..€</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Pr="00286817" w:rsidR="00484CA5" w:rsidP="00484CA5" w:rsidRDefault="00484CA5">
      <w:pPr>
        <w:pStyle w:val="Sansinterligne"/>
        <w:jc w:val="both"/>
        <w:rPr>
          <w:rFonts w:ascii="Arial" w:hAnsi="Arial" w:cs="Arial"/>
          <w:sz w:val="28"/>
        </w:rPr>
      </w:pPr>
      <w:r w:rsidRPr="00286817">
        <w:rPr>
          <w:rFonts w:ascii="Arial" w:hAnsi="Arial" w:cs="Arial"/>
          <w:sz w:val="32"/>
        </w:rPr>
        <w:t xml:space="preserve">□ </w:t>
      </w:r>
      <w:r w:rsidRPr="00286817">
        <w:rPr>
          <w:rFonts w:ascii="Arial" w:hAnsi="Arial" w:cs="Arial"/>
          <w:sz w:val="28"/>
        </w:rPr>
        <w:t>FONDS PROPRES</w:t>
      </w:r>
    </w:p>
    <w:p w:rsidRPr="00286817" w:rsidR="00484CA5" w:rsidP="00484CA5" w:rsidRDefault="00484CA5">
      <w:pPr>
        <w:pStyle w:val="Sansinterligne"/>
        <w:jc w:val="both"/>
        <w:rPr>
          <w:rFonts w:ascii="Arial" w:hAnsi="Arial" w:cs="Arial"/>
          <w:sz w:val="28"/>
        </w:rPr>
      </w:pPr>
    </w:p>
    <w:p w:rsidRPr="00286817" w:rsidR="00484CA5" w:rsidP="00484CA5" w:rsidRDefault="00484CA5">
      <w:pPr>
        <w:pStyle w:val="Sansinterligne"/>
        <w:jc w:val="both"/>
        <w:rPr>
          <w:rFonts w:ascii="Arial" w:hAnsi="Arial" w:cs="Arial"/>
          <w:sz w:val="32"/>
        </w:rPr>
      </w:pPr>
      <w:r w:rsidRPr="00286817">
        <w:rPr>
          <w:rFonts w:ascii="Arial" w:hAnsi="Arial" w:cs="Arial"/>
          <w:sz w:val="32"/>
        </w:rPr>
        <w:t xml:space="preserve">□ </w:t>
      </w:r>
      <w:r w:rsidRPr="00286817">
        <w:rPr>
          <w:rFonts w:ascii="Arial" w:hAnsi="Arial" w:cs="Arial"/>
          <w:sz w:val="28"/>
        </w:rPr>
        <w:t>FINANCEMENT BANCAIRE</w:t>
      </w:r>
    </w:p>
    <w:p w:rsidRPr="00481240" w:rsidR="00484CA5" w:rsidP="00484CA5" w:rsidRDefault="00484CA5">
      <w:pPr>
        <w:pStyle w:val="Sansinterligne1"/>
        <w:jc w:val="both"/>
        <w:rPr>
          <w:rFonts w:ascii="Arial" w:hAnsi="Arial" w:cs="Arial"/>
        </w:rPr>
      </w:pPr>
    </w:p>
    <w:p w:rsidR="00484CA5" w:rsidP="00286817" w:rsidRDefault="00484CA5">
      <w:pPr>
        <w:pStyle w:val="Sansinterligne1"/>
        <w:ind w:left="284"/>
        <w:jc w:val="both"/>
        <w:rPr>
          <w:rFonts w:ascii="Arial" w:hAnsi="Arial" w:cs="Arial"/>
          <w:u w:val="single"/>
        </w:rPr>
      </w:pPr>
      <w:r w:rsidRPr="00EF02A1">
        <w:rPr>
          <w:rFonts w:ascii="Arial" w:hAnsi="Arial" w:cs="Arial"/>
          <w:u w:val="single"/>
        </w:rPr>
        <w:t>Si vous avez recours à un emprunt :</w:t>
      </w:r>
    </w:p>
    <w:p w:rsidRPr="00EF02A1" w:rsidR="00484CA5" w:rsidP="00286817" w:rsidRDefault="00484CA5">
      <w:pPr>
        <w:pStyle w:val="Sansinterligne1"/>
        <w:ind w:left="284"/>
        <w:jc w:val="both"/>
        <w:rPr>
          <w:rFonts w:ascii="Arial" w:hAnsi="Arial" w:cs="Arial"/>
          <w:u w:val="single"/>
        </w:rPr>
      </w:pP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Montant emprunté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Durée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Taux effectif global :</w:t>
      </w:r>
      <w:r>
        <w:rPr>
          <w:rFonts w:ascii="Arial" w:hAnsi="Arial" w:cs="Arial"/>
        </w:rPr>
        <w:tab/>
      </w:r>
    </w:p>
    <w:p w:rsidR="00484CA5" w:rsidP="00286817" w:rsidRDefault="00484CA5">
      <w:pPr>
        <w:pStyle w:val="Sansinterligne1"/>
        <w:ind w:left="284"/>
        <w:jc w:val="both"/>
        <w:rPr>
          <w:rFonts w:ascii="Arial" w:hAnsi="Arial" w:cs="Arial"/>
        </w:rPr>
      </w:pPr>
    </w:p>
    <w:p w:rsidRPr="00EF02A1" w:rsidR="00484CA5" w:rsidP="00286817" w:rsidRDefault="00484CA5">
      <w:pPr>
        <w:pStyle w:val="Sansinterligne1"/>
        <w:ind w:left="284"/>
        <w:jc w:val="center"/>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230B02" w:rsidR="00484CA5" w:rsidP="00484CA5" w:rsidRDefault="00230B02">
      <w:pPr>
        <w:pStyle w:val="Sansinterligne1"/>
        <w:jc w:val="both"/>
        <w:rPr>
          <w:rFonts w:ascii="Arial" w:hAnsi="Arial" w:cs="Arial"/>
          <w:b/>
          <w:u w:val="single"/>
        </w:rPr>
      </w:pPr>
      <w:r>
        <w:rPr>
          <w:rFonts w:ascii="Arial" w:hAnsi="Arial" w:cs="Arial"/>
        </w:rPr>
        <w:br w:type="page"/>
      </w:r>
      <w:r w:rsidR="003777AD">
        <w:rPr>
          <w:rFonts w:ascii="Arial" w:hAnsi="Arial" w:cs="Arial"/>
          <w:b/>
          <w:u w:val="single"/>
        </w:rPr>
        <w:lastRenderedPageBreak/>
        <w:t>3</w:t>
      </w:r>
      <w:r w:rsidRP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9E5863" w:rsidR="00484CA5" w:rsidP="00484CA5" w:rsidRDefault="00484CA5">
      <w:pPr>
        <w:pStyle w:val="Sansinterligne"/>
        <w:jc w:val="both"/>
        <w:rPr>
          <w:rFonts w:ascii="Arial" w:hAnsi="Arial" w:cs="Arial"/>
        </w:rPr>
      </w:pPr>
      <w:r w:rsidRPr="009E5863">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9E5863">
      <w:pPr>
        <w:pStyle w:val="Sansinterligne"/>
        <w:jc w:val="both"/>
        <w:rPr>
          <w:rFonts w:ascii="Times New Roman" w:hAnsi="Times New Roman"/>
          <w:sz w:val="24"/>
        </w:rPr>
      </w:pPr>
      <w:r>
        <w:rPr>
          <w:noProof/>
        </w:rPr>
        <w:drawing>
          <wp:inline distT="0" distB="0" distL="0" distR="0">
            <wp:extent cx="5392509" cy="2462517"/>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00230B02" w:rsidP="00484CA5" w:rsidRDefault="00230B02">
      <w:pPr>
        <w:pStyle w:val="Sansinterligne"/>
        <w:jc w:val="both"/>
        <w:rPr>
          <w:rFonts w:ascii="Arial" w:hAnsi="Arial" w:cs="Arial"/>
        </w:rPr>
      </w:pPr>
    </w:p>
    <w:p w:rsidR="009E5863" w:rsidP="00484CA5" w:rsidRDefault="009E5863">
      <w:pPr>
        <w:pStyle w:val="Sansinterligne"/>
        <w:jc w:val="both"/>
        <w:rPr>
          <w:rFonts w:ascii="Arial" w:hAnsi="Arial" w:cs="Arial"/>
        </w:rPr>
      </w:pPr>
    </w:p>
    <w:p w:rsidRPr="002E4F9F" w:rsidR="009E5863" w:rsidP="009E5863" w:rsidRDefault="009E5863">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9E5863" w:rsidP="009E5863" w:rsidRDefault="009E5863">
      <w:pPr>
        <w:pStyle w:val="Sansinterligne"/>
        <w:jc w:val="both"/>
        <w:rPr>
          <w:rFonts w:ascii="Arial" w:hAnsi="Arial" w:cs="Arial"/>
        </w:rPr>
      </w:pP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230B02" w:rsidR="009E5863" w:rsidP="00484CA5" w:rsidRDefault="009E5863">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230B02">
      <w:pPr>
        <w:pStyle w:val="Sansinterligne1"/>
        <w:tabs>
          <w:tab w:val="right" w:leader="dot" w:pos="9072"/>
        </w:tabs>
        <w:jc w:val="both"/>
        <w:rPr>
          <w:rFonts w:ascii="Arial" w:hAnsi="Arial" w:cs="Arial"/>
        </w:rPr>
      </w:pPr>
      <w:r w:rsidRPr="00DB51C7">
        <w:rPr>
          <w:rFonts w:ascii="Arial" w:hAnsi="Arial" w:cs="Arial"/>
          <w:i/>
        </w:rPr>
        <w:tab/>
      </w:r>
      <w:bookmarkStart w:name="_GoBack" w:id="0"/>
      <w:bookmarkEnd w:id="0"/>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9E5863">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E5863">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5B"/>
    <w:multiLevelType w:val="hybridMultilevel"/>
    <w:tmpl w:val="E6B0701C"/>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0B12"/>
    <w:multiLevelType w:val="hybridMultilevel"/>
    <w:tmpl w:val="BF9EA9D2"/>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3793"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86817"/>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5863"/>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width-relative:margin;mso-height-relative:margin" fillcolor="white">
      <v:fill color="white"/>
      <v:textbox style="mso-fit-shape-to-text:t"/>
    </o:shapedefaults>
    <o:shapelayout v:ext="edit">
      <o:idmap v:ext="edit" data="1"/>
      <o:rules v:ext="edit">
        <o:r id="V:Rule3" type="connector" idref="#_x0000_s1026"/>
        <o:r id="V:Rule4" type="connector" idref="#_x0000_s1027"/>
      </o:rules>
    </o:shapelayout>
  </w:shapeDefaults>
  <w:decimalSymbol w:val=","/>
  <w:listSeparator w:val=";"/>
  <w14:docId w14:val="762ADAE6"/>
  <w15:chartTrackingRefBased/>
  <w15:docId w15:val="{578045EA-66F6-4537-9C4E-CF3B2E22E9D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654B960-6D44-4C9C-B1F3-A51DE20A234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21</cp:revision>
  <cp:lastPrinted>2016-01-13T15:37:00Z</cp:lastPrinted>
  <dcterms:created xsi:type="dcterms:W3CDTF">2017-07-28T14:57:00Z</dcterms:created>
  <dcterms:modified xsi:type="dcterms:W3CDTF">2025-11-25T17:30:00Z</dcterms:modified>
</cp:coreProperties>
</file>